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32D" w:rsidRPr="0061232D" w:rsidRDefault="0061232D" w:rsidP="0061232D">
      <w:pPr>
        <w:spacing w:after="200" w:line="480" w:lineRule="auto"/>
        <w:rPr>
          <w:rFonts w:ascii="Times New Roman" w:eastAsia="Calibri" w:hAnsi="Times New Roman" w:cs="Times New Roman"/>
          <w:sz w:val="24"/>
          <w:szCs w:val="24"/>
        </w:rPr>
      </w:pPr>
      <w:bookmarkStart w:id="0" w:name="_GoBack"/>
      <w:bookmarkEnd w:id="0"/>
      <w:r w:rsidRPr="0061232D">
        <w:rPr>
          <w:rFonts w:ascii="Times New Roman" w:eastAsia="Calibri" w:hAnsi="Times New Roman" w:cs="Times New Roman"/>
          <w:sz w:val="24"/>
          <w:szCs w:val="24"/>
        </w:rPr>
        <w:t>Student’s Name</w:t>
      </w:r>
    </w:p>
    <w:p w:rsidR="0061232D" w:rsidRPr="0061232D" w:rsidRDefault="0061232D" w:rsidP="0061232D">
      <w:pPr>
        <w:spacing w:after="200" w:line="480" w:lineRule="auto"/>
        <w:rPr>
          <w:rFonts w:ascii="Times New Roman" w:eastAsia="Calibri" w:hAnsi="Times New Roman" w:cs="Times New Roman"/>
          <w:sz w:val="24"/>
          <w:szCs w:val="24"/>
        </w:rPr>
      </w:pPr>
      <w:r w:rsidRPr="0061232D">
        <w:rPr>
          <w:rFonts w:ascii="Times New Roman" w:eastAsia="Calibri" w:hAnsi="Times New Roman" w:cs="Times New Roman"/>
          <w:sz w:val="24"/>
          <w:szCs w:val="24"/>
        </w:rPr>
        <w:t>Professor’s Name</w:t>
      </w:r>
    </w:p>
    <w:p w:rsidR="0061232D" w:rsidRPr="0061232D" w:rsidRDefault="0061232D" w:rsidP="0061232D">
      <w:pPr>
        <w:spacing w:after="200" w:line="480" w:lineRule="auto"/>
        <w:rPr>
          <w:rFonts w:ascii="Times New Roman" w:eastAsia="Calibri" w:hAnsi="Times New Roman" w:cs="Times New Roman"/>
          <w:sz w:val="24"/>
          <w:szCs w:val="24"/>
        </w:rPr>
      </w:pPr>
      <w:r w:rsidRPr="0061232D">
        <w:rPr>
          <w:rFonts w:ascii="Times New Roman" w:eastAsia="Calibri" w:hAnsi="Times New Roman" w:cs="Times New Roman"/>
          <w:sz w:val="24"/>
          <w:szCs w:val="24"/>
        </w:rPr>
        <w:t>Subject Title</w:t>
      </w:r>
    </w:p>
    <w:p w:rsidR="00033F89" w:rsidRPr="0061232D" w:rsidRDefault="0061232D" w:rsidP="0061232D">
      <w:pPr>
        <w:spacing w:after="200" w:line="480" w:lineRule="auto"/>
        <w:rPr>
          <w:rFonts w:ascii="Times New Roman" w:eastAsia="Calibri" w:hAnsi="Times New Roman" w:cs="Times New Roman"/>
          <w:sz w:val="24"/>
          <w:szCs w:val="24"/>
        </w:rPr>
      </w:pPr>
      <w:r w:rsidRPr="0061232D">
        <w:rPr>
          <w:rFonts w:ascii="Times New Roman" w:eastAsia="Calibri" w:hAnsi="Times New Roman" w:cs="Times New Roman"/>
          <w:sz w:val="24"/>
          <w:szCs w:val="24"/>
        </w:rPr>
        <w:t xml:space="preserve">Date </w:t>
      </w:r>
    </w:p>
    <w:p w:rsidR="005467E2" w:rsidRDefault="0061232D" w:rsidP="0061232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DQ:</w:t>
      </w:r>
      <w:r w:rsidRPr="0061232D">
        <w:rPr>
          <w:rFonts w:ascii="Times New Roman" w:hAnsi="Times New Roman" w:cs="Times New Roman"/>
          <w:b/>
          <w:sz w:val="24"/>
          <w:szCs w:val="24"/>
        </w:rPr>
        <w:t xml:space="preserve"> </w:t>
      </w:r>
      <w:r>
        <w:rPr>
          <w:rFonts w:ascii="Times New Roman" w:hAnsi="Times New Roman" w:cs="Times New Roman"/>
          <w:b/>
          <w:sz w:val="24"/>
          <w:szCs w:val="24"/>
        </w:rPr>
        <w:t>What Is The Advantage Of The UCC</w:t>
      </w:r>
      <w:r w:rsidRPr="0061232D">
        <w:rPr>
          <w:rFonts w:ascii="Times New Roman" w:hAnsi="Times New Roman" w:cs="Times New Roman"/>
          <w:b/>
          <w:sz w:val="24"/>
          <w:szCs w:val="24"/>
        </w:rPr>
        <w:t xml:space="preserve"> Compared To The Common Law Of Contracts? Are There Advantages To The Adopt</w:t>
      </w:r>
      <w:r>
        <w:rPr>
          <w:rFonts w:ascii="Times New Roman" w:hAnsi="Times New Roman" w:cs="Times New Roman"/>
          <w:b/>
          <w:sz w:val="24"/>
          <w:szCs w:val="24"/>
        </w:rPr>
        <w:t>ion Of A Statute Such As The UCC</w:t>
      </w:r>
      <w:r w:rsidRPr="0061232D">
        <w:rPr>
          <w:rFonts w:ascii="Times New Roman" w:hAnsi="Times New Roman" w:cs="Times New Roman"/>
          <w:b/>
          <w:sz w:val="24"/>
          <w:szCs w:val="24"/>
        </w:rPr>
        <w:t>?</w:t>
      </w:r>
    </w:p>
    <w:p w:rsidR="00475B50" w:rsidRPr="00475B50" w:rsidRDefault="00475B50" w:rsidP="00475B50">
      <w:pPr>
        <w:spacing w:line="480" w:lineRule="auto"/>
        <w:rPr>
          <w:rFonts w:ascii="Times New Roman" w:hAnsi="Times New Roman" w:cs="Times New Roman"/>
          <w:sz w:val="24"/>
          <w:szCs w:val="24"/>
        </w:rPr>
      </w:pPr>
      <w:r w:rsidRPr="00475B50">
        <w:rPr>
          <w:rFonts w:ascii="Times New Roman" w:hAnsi="Times New Roman" w:cs="Times New Roman"/>
          <w:sz w:val="24"/>
          <w:szCs w:val="24"/>
        </w:rPr>
        <w:t>There are advantages of UCC to the common law of contracts. The UCC is any form of communication that shows there is an agreement. The agreement may be in writing, actions, or words. The UCC gives more flexibility to the contract, which enables the contracts to accommodate the real practices in the business. In the common law, there is precisely the use of a mirror or image of acceptance that is required to show there is the existence of an agreement. </w:t>
      </w:r>
    </w:p>
    <w:p w:rsidR="00475B50" w:rsidRPr="00475B50" w:rsidRDefault="00475B50" w:rsidP="00475B50">
      <w:pPr>
        <w:spacing w:line="480" w:lineRule="auto"/>
        <w:rPr>
          <w:rFonts w:ascii="Times New Roman" w:hAnsi="Times New Roman" w:cs="Times New Roman"/>
          <w:sz w:val="24"/>
          <w:szCs w:val="24"/>
        </w:rPr>
      </w:pPr>
      <w:r w:rsidRPr="00475B50">
        <w:rPr>
          <w:rFonts w:ascii="Times New Roman" w:hAnsi="Times New Roman" w:cs="Times New Roman"/>
          <w:sz w:val="24"/>
          <w:szCs w:val="24"/>
        </w:rPr>
        <w:t>The UCC contract there is a requirement of the quantity terms and those without getting filled with gap fillers. It ensures that the agreements are specific. UCC involves the Statue on fraud, which ensures that the contract is done in writing and signed by defendants but not all. The common law contracts require the essential items to be identified in the contracts. </w:t>
      </w:r>
    </w:p>
    <w:p w:rsidR="00475B50" w:rsidRPr="00475B50" w:rsidRDefault="00475B50" w:rsidP="00475B50">
      <w:pPr>
        <w:spacing w:line="480" w:lineRule="auto"/>
        <w:rPr>
          <w:rFonts w:ascii="Times New Roman" w:hAnsi="Times New Roman" w:cs="Times New Roman"/>
          <w:sz w:val="24"/>
          <w:szCs w:val="24"/>
        </w:rPr>
      </w:pPr>
      <w:r w:rsidRPr="00475B50">
        <w:rPr>
          <w:rFonts w:ascii="Times New Roman" w:hAnsi="Times New Roman" w:cs="Times New Roman"/>
          <w:sz w:val="24"/>
          <w:szCs w:val="24"/>
        </w:rPr>
        <w:t>The UCC gives specifics on the contract on quantity. It focuses on businesses that need to sell goods for a range of $500 or more. UCC allows for the sale of portable products. It does not deal with securities, housed, or land. Common law the contracts are for services of individuals who are interested in real properties. UCC gives uniformity to contracts that occur between people of different states. Considering that each state has its laws, ECC will ensure the contract is set on formal grounds with consideration to the laws on each side. </w:t>
      </w:r>
    </w:p>
    <w:p w:rsidR="00475B50" w:rsidRPr="00475B50" w:rsidRDefault="00475B50" w:rsidP="00475B50">
      <w:pPr>
        <w:spacing w:line="480" w:lineRule="auto"/>
        <w:rPr>
          <w:rFonts w:ascii="Times New Roman" w:hAnsi="Times New Roman" w:cs="Times New Roman"/>
          <w:sz w:val="24"/>
          <w:szCs w:val="24"/>
        </w:rPr>
      </w:pPr>
      <w:r w:rsidRPr="00475B50">
        <w:rPr>
          <w:rFonts w:ascii="Times New Roman" w:hAnsi="Times New Roman" w:cs="Times New Roman"/>
          <w:sz w:val="24"/>
          <w:szCs w:val="24"/>
        </w:rPr>
        <w:lastRenderedPageBreak/>
        <w:t>The importance of adopting statute laws like UCC is to ensure there is justice that is served. The statutes are the laws that are adopted by an authority that is in control to ensure no harm falls on individuals depending on the case laws. </w:t>
      </w:r>
    </w:p>
    <w:p w:rsidR="00475B50" w:rsidRPr="00475B50" w:rsidRDefault="00475B50" w:rsidP="00475B50">
      <w:pPr>
        <w:spacing w:line="480" w:lineRule="auto"/>
        <w:jc w:val="center"/>
        <w:rPr>
          <w:rFonts w:ascii="Times New Roman" w:hAnsi="Times New Roman" w:cs="Times New Roman"/>
          <w:sz w:val="24"/>
          <w:szCs w:val="24"/>
        </w:rPr>
      </w:pPr>
      <w:r w:rsidRPr="00475B50">
        <w:rPr>
          <w:rFonts w:ascii="Times New Roman" w:hAnsi="Times New Roman" w:cs="Times New Roman"/>
          <w:b/>
          <w:bCs/>
          <w:sz w:val="24"/>
          <w:szCs w:val="24"/>
        </w:rPr>
        <w:t>Case Discussion</w:t>
      </w:r>
    </w:p>
    <w:p w:rsidR="00475B50" w:rsidRPr="00475B50" w:rsidRDefault="00475B50" w:rsidP="00475B50">
      <w:pPr>
        <w:spacing w:line="480" w:lineRule="auto"/>
        <w:rPr>
          <w:rFonts w:ascii="Times New Roman" w:hAnsi="Times New Roman" w:cs="Times New Roman"/>
          <w:sz w:val="24"/>
          <w:szCs w:val="24"/>
        </w:rPr>
      </w:pPr>
      <w:r w:rsidRPr="00475B50">
        <w:rPr>
          <w:rFonts w:ascii="Times New Roman" w:hAnsi="Times New Roman" w:cs="Times New Roman"/>
          <w:sz w:val="24"/>
          <w:szCs w:val="24"/>
        </w:rPr>
        <w:t>The plaintiff is Marquette, and the buyer, who is the defendant, is Norcem. Having entered a contract of 2 years for a cement deal. The deal proceeded, and Norcem bought cement exclusively from Marquette in two terms that were in the contract. The contract stated that the third shipment would be negotiated to $38 for a short ton. On the negotiation, Marquette set the shipments at $38, which led to Norcem refusing the price on the claims of failure of negotiating in good faith. Marquette sued for breach of contract, which I believe was not right. In the contract they signed, in the beginning, it was well stated that they would negotiate the rice of the third shipment. Norcem, having bought two shipments from Marquette exclusively, there is an obligation that when they are negotiating, they do so considering their work relationship. Each agreement forces a commitment of reasonable confidence in its exhibition. The plaintiff's refusal to consider any installment other than the most extreme sum allowed by the agreement puts some legitimacy in the safeguard that the plaintiff would not consult under basic honesty and good faith of the earlier services. A contract can be concluded even though the business cost isn't settled. The parties must plan this to be the situation. In any case, reasonable perusing of the agreement appears to show that there is intension to finish up the contract notwithstanding the way that all business costs were not settled. </w:t>
      </w:r>
    </w:p>
    <w:p w:rsidR="00475B50" w:rsidRPr="00475B50" w:rsidRDefault="00475B50" w:rsidP="00475B50">
      <w:pPr>
        <w:spacing w:line="480" w:lineRule="auto"/>
        <w:rPr>
          <w:rFonts w:ascii="Times New Roman" w:hAnsi="Times New Roman" w:cs="Times New Roman"/>
          <w:sz w:val="24"/>
          <w:szCs w:val="24"/>
        </w:rPr>
      </w:pPr>
    </w:p>
    <w:sectPr w:rsidR="00475B50" w:rsidRPr="00475B5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A03" w:rsidRDefault="00765A03" w:rsidP="00033F89">
      <w:pPr>
        <w:spacing w:after="0" w:line="240" w:lineRule="auto"/>
      </w:pPr>
      <w:r>
        <w:separator/>
      </w:r>
    </w:p>
  </w:endnote>
  <w:endnote w:type="continuationSeparator" w:id="0">
    <w:p w:rsidR="00765A03" w:rsidRDefault="00765A03" w:rsidP="0003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A03" w:rsidRDefault="00765A03" w:rsidP="00033F89">
      <w:pPr>
        <w:spacing w:after="0" w:line="240" w:lineRule="auto"/>
      </w:pPr>
      <w:r>
        <w:separator/>
      </w:r>
    </w:p>
  </w:footnote>
  <w:footnote w:type="continuationSeparator" w:id="0">
    <w:p w:rsidR="00765A03" w:rsidRDefault="00765A03" w:rsidP="00033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297885"/>
      <w:docPartObj>
        <w:docPartGallery w:val="Page Numbers (Top of Page)"/>
        <w:docPartUnique/>
      </w:docPartObj>
    </w:sdtPr>
    <w:sdtEndPr>
      <w:rPr>
        <w:rFonts w:ascii="Times New Roman" w:hAnsi="Times New Roman" w:cs="Times New Roman"/>
        <w:noProof/>
        <w:sz w:val="24"/>
        <w:szCs w:val="24"/>
      </w:rPr>
    </w:sdtEndPr>
    <w:sdtContent>
      <w:p w:rsidR="00033F89" w:rsidRPr="00033F89" w:rsidRDefault="00033F89" w:rsidP="00033F89">
        <w:pPr>
          <w:pStyle w:val="Header"/>
          <w:jc w:val="right"/>
          <w:rPr>
            <w:rFonts w:ascii="Times New Roman" w:hAnsi="Times New Roman" w:cs="Times New Roman"/>
            <w:sz w:val="24"/>
            <w:szCs w:val="24"/>
          </w:rPr>
        </w:pPr>
        <w:r w:rsidRPr="00033F89">
          <w:rPr>
            <w:rFonts w:ascii="Times New Roman" w:hAnsi="Times New Roman" w:cs="Times New Roman"/>
            <w:sz w:val="24"/>
            <w:szCs w:val="24"/>
          </w:rPr>
          <w:t xml:space="preserve">Surname </w:t>
        </w:r>
        <w:r w:rsidRPr="00033F89">
          <w:rPr>
            <w:rFonts w:ascii="Times New Roman" w:hAnsi="Times New Roman" w:cs="Times New Roman"/>
            <w:sz w:val="24"/>
            <w:szCs w:val="24"/>
          </w:rPr>
          <w:fldChar w:fldCharType="begin"/>
        </w:r>
        <w:r w:rsidRPr="00033F89">
          <w:rPr>
            <w:rFonts w:ascii="Times New Roman" w:hAnsi="Times New Roman" w:cs="Times New Roman"/>
            <w:sz w:val="24"/>
            <w:szCs w:val="24"/>
          </w:rPr>
          <w:instrText xml:space="preserve"> PAGE   \* MERGEFORMAT </w:instrText>
        </w:r>
        <w:r w:rsidRPr="00033F89">
          <w:rPr>
            <w:rFonts w:ascii="Times New Roman" w:hAnsi="Times New Roman" w:cs="Times New Roman"/>
            <w:sz w:val="24"/>
            <w:szCs w:val="24"/>
          </w:rPr>
          <w:fldChar w:fldCharType="separate"/>
        </w:r>
        <w:r w:rsidR="00F65564">
          <w:rPr>
            <w:rFonts w:ascii="Times New Roman" w:hAnsi="Times New Roman" w:cs="Times New Roman"/>
            <w:noProof/>
            <w:sz w:val="24"/>
            <w:szCs w:val="24"/>
          </w:rPr>
          <w:t>1</w:t>
        </w:r>
        <w:r w:rsidRPr="00033F8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AA"/>
    <w:rsid w:val="00033F89"/>
    <w:rsid w:val="00080869"/>
    <w:rsid w:val="000D6C7F"/>
    <w:rsid w:val="00131FA8"/>
    <w:rsid w:val="0013777F"/>
    <w:rsid w:val="001E4296"/>
    <w:rsid w:val="00227B6E"/>
    <w:rsid w:val="002529AA"/>
    <w:rsid w:val="00440F06"/>
    <w:rsid w:val="00475B50"/>
    <w:rsid w:val="004E2FE7"/>
    <w:rsid w:val="004F7D03"/>
    <w:rsid w:val="005467E2"/>
    <w:rsid w:val="005F3E84"/>
    <w:rsid w:val="0061232D"/>
    <w:rsid w:val="00750149"/>
    <w:rsid w:val="00765A03"/>
    <w:rsid w:val="008B3AEA"/>
    <w:rsid w:val="00992C6C"/>
    <w:rsid w:val="00A56046"/>
    <w:rsid w:val="00A90575"/>
    <w:rsid w:val="00AD772C"/>
    <w:rsid w:val="00CE738D"/>
    <w:rsid w:val="00E2090C"/>
    <w:rsid w:val="00E87231"/>
    <w:rsid w:val="00F41454"/>
    <w:rsid w:val="00F56FB9"/>
    <w:rsid w:val="00F65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F139C1-1468-4A95-8461-37A6E496B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F89"/>
  </w:style>
  <w:style w:type="paragraph" w:styleId="Footer">
    <w:name w:val="footer"/>
    <w:basedOn w:val="Normal"/>
    <w:link w:val="FooterChar"/>
    <w:uiPriority w:val="99"/>
    <w:unhideWhenUsed/>
    <w:rsid w:val="00033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16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2019-11-14T05:19:00Z</dcterms:created>
  <dcterms:modified xsi:type="dcterms:W3CDTF">2019-11-14T05:19:00Z</dcterms:modified>
</cp:coreProperties>
</file>